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001-26-1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6510D369" w14:textId="0522CA81" w:rsidR="00CB61A4" w:rsidRPr="0004482D" w:rsidRDefault="006C55FF" w:rsidP="0004482D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 w:cs="Times New Roman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04482D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10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04482D" w:rsidRPr="0004482D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Требования к обеспечению безопасной эксплуатации объектов капитального строительства</w:t>
            </w: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23E3C2D7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ТБЭ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04482D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г.Зеленодольск, ул.Комарова, д.13, п.1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01A7B7FE" w14:textId="0B3D6C8E" w:rsidR="006C23B9" w:rsidRPr="00CD7C88" w:rsidRDefault="0004482D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>10.</w:t>
            </w:r>
            <w:r w:rsidRPr="00CD7C88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 xml:space="preserve"> </w:t>
            </w:r>
            <w:r w:rsidRPr="0004482D">
              <w:rPr>
                <w:rStyle w:val="FontStyle77"/>
                <w:rFonts w:ascii="GOST type A" w:hAnsi="GOST type A"/>
                <w:b/>
                <w:i w:val="0"/>
                <w:sz w:val="32"/>
                <w:szCs w:val="32"/>
              </w:rPr>
              <w:t>Требования к обеспечению безопасной эксплуатации объектов капитального строительства</w:t>
            </w:r>
            <w:r w:rsidRPr="00CD7C88">
              <w:rPr>
                <w:rStyle w:val="FontStyle129"/>
                <w:rFonts w:ascii="GOST type A" w:hAnsi="GOST type A"/>
                <w:bCs/>
                <w:sz w:val="32"/>
                <w:szCs w:val="32"/>
              </w:rPr>
              <w:t xml:space="preserve"> </w:t>
            </w: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3F0A798B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001-26-1 ТБЭ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484A1A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04482D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1167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D973E9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0A73CB91" w:rsidR="00C349A3" w:rsidRPr="00EB3797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479F040D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ТБЭ</w:t>
            </w:r>
            <w:r w:rsid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3B0F1B81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="0004482D" w:rsidRP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Требования к обеспечению безопасной эксплуатации объектов капитального строительства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  <w:tr w:rsidR="000E234D" w:rsidRPr="00EB3797" w14:paraId="228218BE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966A7" w14:textId="25FCD634" w:rsidR="000E234D" w:rsidRPr="00EB3797" w:rsidRDefault="000E234D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001-26-1 ТБЭ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41012" w14:textId="5F2B1045" w:rsidR="000E234D" w:rsidRDefault="000E234D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2.  </w:t>
            </w:r>
            <w:r w:rsidRPr="0004482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Требования к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 w:rsidRPr="000E234D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безопасной эксплуатации лифта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90A" w14:textId="121C0C26" w:rsidR="000E234D" w:rsidRDefault="000E234D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F9E9" w14:textId="77777777" w:rsidR="000E234D" w:rsidRPr="00EB3797" w:rsidRDefault="000E234D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77234DC2" w14:textId="77777777" w:rsidR="0004482D" w:rsidRDefault="0004482D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04482D">
        <w:rPr>
          <w:rFonts w:ascii="GOST type A" w:hAnsi="GOST type A"/>
          <w:b/>
          <w:bCs/>
          <w:sz w:val="28"/>
          <w:szCs w:val="28"/>
        </w:rPr>
        <w:lastRenderedPageBreak/>
        <w:t>Требования к обеспечению безопасной эксплуатации объектов</w:t>
      </w:r>
    </w:p>
    <w:p w14:paraId="1DD764F3" w14:textId="04777DD7" w:rsidR="003263EC" w:rsidRPr="003263EC" w:rsidRDefault="0004482D" w:rsidP="0004482D">
      <w:pPr>
        <w:pStyle w:val="ab"/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04482D">
        <w:rPr>
          <w:rFonts w:ascii="GOST type A" w:hAnsi="GOST type A"/>
          <w:b/>
          <w:bCs/>
          <w:sz w:val="28"/>
          <w:szCs w:val="28"/>
        </w:rPr>
        <w:t>капитального строительства</w:t>
      </w:r>
    </w:p>
    <w:p w14:paraId="46E363DF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В соответствии с TP ТС 011/2011 для обеспечения безопасности лифтов в период назначенного срока службы, должны выполняться следующие требования:</w:t>
      </w:r>
    </w:p>
    <w:p w14:paraId="1C7B3243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использование лифта по назначению, а также проведение осмотра, технического обслуживания и ремонта лифта в соответствии с технической документацией (руководством по эксплуатации) изготовителя;</w:t>
      </w:r>
    </w:p>
    <w:p w14:paraId="3D43FC6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выполнение работ по осмотру, техническому обслуживанию и ремонту лифтов квалифицированным персоналом;</w:t>
      </w:r>
    </w:p>
    <w:p w14:paraId="74378B0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в течение назначенного срока службы в форме технического освидетельствования;</w:t>
      </w:r>
    </w:p>
    <w:p w14:paraId="11DD9CE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по истечении назначенного срока.</w:t>
      </w:r>
    </w:p>
    <w:p w14:paraId="7DD93271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условий безопасной эксплуатации лифтов для обеспечения безопасности лифта в период назначенного срока службы должны выполняться следующие условия:</w:t>
      </w:r>
    </w:p>
    <w:p w14:paraId="107101CE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сохранности лифтового оборудования и использование лифта только по назначению в течение всего срока эксплуатации;</w:t>
      </w:r>
    </w:p>
    <w:p w14:paraId="5A5EECEA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условий эксплуатации в помещениях с размещенным оборудованием лифта, предусмотренных документацией изготовителя лифта;</w:t>
      </w:r>
    </w:p>
    <w:p w14:paraId="06B3A5E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хранения в помещениях с размещенным оборудованием лифта</w:t>
      </w:r>
      <w:r>
        <w:rPr>
          <w:rFonts w:ascii="GOST type A" w:hAnsi="GOST type A"/>
          <w:sz w:val="28"/>
          <w:szCs w:val="28"/>
        </w:rPr>
        <w:t xml:space="preserve"> </w:t>
      </w:r>
      <w:r w:rsidRPr="004A1AC9">
        <w:rPr>
          <w:rFonts w:ascii="GOST type A" w:hAnsi="GOST type A"/>
          <w:sz w:val="28"/>
          <w:szCs w:val="28"/>
        </w:rPr>
        <w:t>посторонних предметов, не имеющих отношения к обеспечению эксплуатации лифтов;</w:t>
      </w:r>
    </w:p>
    <w:p w14:paraId="34EF463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 xml:space="preserve">- обеспечение возможности беспрепятственного и безопасного подхода (доступа) обслуживающего персонала к помещениям с размещенным оборудованием лифта, в том числе освещения подходов, проходов; </w:t>
      </w:r>
    </w:p>
    <w:p w14:paraId="5A6461A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доступа в машинное помещение посторонних лиц;</w:t>
      </w:r>
    </w:p>
    <w:p w14:paraId="5803F334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обеспечение организации хранения технической документации, в том числе паспорта лифта и внесения в него необходимых сведений;</w:t>
      </w:r>
    </w:p>
    <w:p w14:paraId="2A95E51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наличие «Правил пользования лифтом» в кабине лифта или на основном посадочном этаже;</w:t>
      </w:r>
    </w:p>
    <w:p w14:paraId="5381621D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наличие в кабине лифта или на основном посадочном этаже информации для связи с обслуживающим персоналом или диспетчерской службой;</w:t>
      </w:r>
    </w:p>
    <w:p w14:paraId="259DE16E" w14:textId="77777777" w:rsidR="000E234D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исключение использования лифта для транспортирования строительных материалов и грузов при выполнении строительных и отделочных работ в помещениях зданий и сооружений без выполнения мероприятий по предотвращению повреждения оборудования лифта.</w:t>
      </w:r>
    </w:p>
    <w:p w14:paraId="61D9A6E9" w14:textId="77777777" w:rsidR="000E234D" w:rsidRPr="000E234D" w:rsidRDefault="000E234D" w:rsidP="000E234D">
      <w:pPr>
        <w:spacing w:after="0" w:line="360" w:lineRule="auto"/>
        <w:ind w:right="311"/>
        <w:jc w:val="center"/>
        <w:rPr>
          <w:rFonts w:ascii="GOST type A" w:hAnsi="GOST type A"/>
          <w:b/>
          <w:bCs/>
          <w:sz w:val="28"/>
          <w:szCs w:val="28"/>
        </w:rPr>
      </w:pPr>
      <w:r>
        <w:rPr>
          <w:rFonts w:ascii="GOST type A" w:hAnsi="GOST type A"/>
          <w:b/>
          <w:bCs/>
          <w:sz w:val="28"/>
          <w:szCs w:val="28"/>
        </w:rPr>
        <w:lastRenderedPageBreak/>
        <w:t xml:space="preserve">2. </w:t>
      </w:r>
      <w:r w:rsidRPr="000E234D">
        <w:rPr>
          <w:rFonts w:ascii="GOST type A" w:hAnsi="GOST type A"/>
          <w:b/>
          <w:bCs/>
          <w:sz w:val="28"/>
          <w:szCs w:val="28"/>
        </w:rPr>
        <w:t>Требования к безопасной эксплуатации лифта</w:t>
      </w:r>
    </w:p>
    <w:p w14:paraId="75E5109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В период назначенного срока службы лифта должны выполняться следующие требования:</w:t>
      </w:r>
    </w:p>
    <w:p w14:paraId="6FBB13F3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использование лифта по назначению осуществляется в соответствии с руководством (инструкцией) по эксплуатации изготовителя лифта;</w:t>
      </w:r>
    </w:p>
    <w:p w14:paraId="76F9450A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прекращение использования лифта по назначению в случае возникновения опасных ситуаций;</w:t>
      </w:r>
    </w:p>
    <w:p w14:paraId="53DA82E6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выполнение работ по техническому обслуживанию и ремонту лифта квалифицированным персоналом;</w:t>
      </w:r>
    </w:p>
    <w:p w14:paraId="00DC8B8C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технического освидетельствования лифтов по ГОСТ Р 34583-2019:</w:t>
      </w:r>
    </w:p>
    <w:p w14:paraId="27E2331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проведение оценки соответствия лифтов по истечении назначенного срока службы с целью определения возможности и условий продления срока использования лифта по назначению (при необходимости).</w:t>
      </w:r>
    </w:p>
    <w:p w14:paraId="2BCF63F5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Объем и периодичность выполняемых работ при техническом обслуживании должны соответствовать требованиям, изложенным в руководстве по эксплуатации заводов-изготовителей лифтового оборудования.</w:t>
      </w:r>
    </w:p>
    <w:p w14:paraId="33923194" w14:textId="569DE0F1" w:rsidR="000E234D" w:rsidRPr="004A1AC9" w:rsidRDefault="000E234D" w:rsidP="00B13D6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Состав и виды работ, выполняемых при эксплуатации лифта. Система планово-предупредительных ремонтов лифтов включает в себя:</w:t>
      </w:r>
    </w:p>
    <w:p w14:paraId="0A84BC7B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осмотр и контроль за состоянием оборудования лифта посредством устройства диспетчерского контроля;</w:t>
      </w:r>
    </w:p>
    <w:p w14:paraId="213F79A0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техническое обслуживание;</w:t>
      </w:r>
    </w:p>
    <w:p w14:paraId="1B29B8C8" w14:textId="77777777" w:rsidR="000E234D" w:rsidRPr="004A1AC9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аварийно-техническое обслуживание;</w:t>
      </w:r>
    </w:p>
    <w:p w14:paraId="2AA29957" w14:textId="77777777" w:rsidR="000E234D" w:rsidRDefault="000E234D" w:rsidP="000E234D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4A1AC9">
        <w:rPr>
          <w:rFonts w:ascii="GOST type A" w:hAnsi="GOST type A"/>
          <w:sz w:val="28"/>
          <w:szCs w:val="28"/>
        </w:rPr>
        <w:t>- систему восстановления ресурса лифта, состоящую из капитального ремонта (замены оборудования) или модернизации (как в процессе эксплуатации лифта, так и по истечении назначенного срока службы).</w:t>
      </w:r>
    </w:p>
    <w:p w14:paraId="42614253" w14:textId="6BD14273" w:rsidR="000E234D" w:rsidRDefault="000E234D">
      <w:pPr>
        <w:spacing w:after="0" w:line="240" w:lineRule="auto"/>
        <w:rPr>
          <w:rFonts w:ascii="GOST type A" w:hAnsi="GOST type A"/>
          <w:sz w:val="28"/>
          <w:szCs w:val="28"/>
        </w:rPr>
      </w:pPr>
    </w:p>
    <w:sectPr w:rsidR="000E234D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t>2</w:t>
        </w:r>
        <w:r w:rsidRPr="00B77B8C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0E234D">
        <w:pPr>
          <w:pStyle w:val="a6"/>
          <w:tabs>
            <w:tab w:val="clear" w:pos="9355"/>
            <w:tab w:val="left" w:pos="8931"/>
            <w:tab w:val="right" w:pos="9072"/>
          </w:tabs>
          <w:ind w:right="28"/>
          <w:jc w:val="right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1B7FBD">
          <w:rPr>
            <w:rFonts w:ascii="Times New Roman" w:hAnsi="Times New Roman"/>
            <w:sz w:val="28"/>
            <w:szCs w:val="28"/>
          </w:rPr>
          <w:fldChar w:fldCharType="begin"/>
        </w:r>
        <w:r w:rsidRPr="001B7FB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B7FBD">
          <w:rPr>
            <w:rFonts w:ascii="Times New Roman" w:hAnsi="Times New Roman"/>
            <w:sz w:val="28"/>
            <w:szCs w:val="28"/>
          </w:rPr>
          <w:fldChar w:fldCharType="separate"/>
        </w:r>
        <w:r w:rsidRPr="001B7FBD">
          <w:rPr>
            <w:rFonts w:ascii="Times New Roman" w:hAnsi="Times New Roman"/>
            <w:sz w:val="28"/>
            <w:szCs w:val="28"/>
          </w:rPr>
          <w:t>2</w:t>
        </w:r>
        <w:r w:rsidRPr="001B7FB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Times New Roman" w:hAnsi="Times New Roman"/>
            <w:sz w:val="28"/>
            <w:szCs w:val="28"/>
          </w:rPr>
          <w:fldChar w:fldCharType="begin"/>
        </w:r>
        <w:r w:rsidRPr="00190DE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90DEE">
          <w:rPr>
            <w:rFonts w:ascii="Times New Roman" w:hAnsi="Times New Roman"/>
            <w:sz w:val="28"/>
            <w:szCs w:val="28"/>
          </w:rPr>
          <w:fldChar w:fldCharType="separate"/>
        </w:r>
        <w:r w:rsidRPr="00190DEE">
          <w:rPr>
            <w:rFonts w:ascii="Times New Roman" w:hAnsi="Times New Roman"/>
            <w:sz w:val="28"/>
            <w:szCs w:val="28"/>
          </w:rPr>
          <w:t>2</w:t>
        </w:r>
        <w:r w:rsidRPr="00190DE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484A1A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484A1A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1pt,1pt,1pt,1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1pt,1pt,1pt,1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1pt,1pt,1pt,1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1pt,1pt,1pt,1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1pt,1pt,1pt,1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1pt,1pt,1pt,1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1pt,1pt,1pt,1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1pt,1pt,1pt,1pt">
              <w:txbxContent>
                <w:p w14:paraId="1B4C90AA" w14:textId="4136935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ТБЭ С</w:t>
                  </w:r>
                  <w:r w:rsidR="0004482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484A1A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53EF9D7B" w14:textId="3CBE6CC7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ТБЭ</w:t>
                  </w:r>
                  <w:r w:rsidR="000E234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484A1A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0A0996A7" w14:textId="16531B9D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001-26-1 ТБЭ</w:t>
                  </w:r>
                  <w:r w:rsidR="0004482D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1pt,1pt,1pt,1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1pt,1pt,1pt,1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1pt,1pt,1pt,1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1pt,1pt,1pt,1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1pt,1pt,1pt,1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1pt,1pt,1pt,1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1pt,1pt,1pt,1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1pt,1pt,1pt,1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001-26-1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482D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34D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4A1A"/>
    <w:rsid w:val="004853E8"/>
    <w:rsid w:val="004856A1"/>
    <w:rsid w:val="004914E6"/>
    <w:rsid w:val="00491C2E"/>
    <w:rsid w:val="004A1AC9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6E62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3D6D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973E9"/>
    <w:rsid w:val="00DA30F9"/>
    <w:rsid w:val="00DA3328"/>
    <w:rsid w:val="00DA51A0"/>
    <w:rsid w:val="00DA6079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5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300</cp:revision>
  <cp:lastPrinted>2025-09-05T11:13:00Z</cp:lastPrinted>
  <dcterms:created xsi:type="dcterms:W3CDTF">2021-02-18T11:55:00Z</dcterms:created>
  <dcterms:modified xsi:type="dcterms:W3CDTF">2025-09-05T11:13:00Z</dcterms:modified>
</cp:coreProperties>
</file>